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DF56" w14:textId="77777777" w:rsidR="000E51A1" w:rsidRDefault="000E51A1">
      <w:pPr>
        <w:pStyle w:val="BodyText"/>
        <w:rPr>
          <w:rFonts w:ascii="Times New Roman"/>
        </w:rPr>
      </w:pPr>
    </w:p>
    <w:p w14:paraId="51A2B152" w14:textId="77777777" w:rsidR="000E51A1" w:rsidRDefault="009818E2">
      <w:pPr>
        <w:pStyle w:val="BodyText"/>
        <w:spacing w:before="105" w:line="273" w:lineRule="auto"/>
        <w:ind w:left="220"/>
      </w:pPr>
      <w:r>
        <w:t>“ASIC</w:t>
      </w:r>
      <w:r>
        <w:rPr>
          <w:spacing w:val="-29"/>
        </w:rPr>
        <w:t xml:space="preserve"> </w:t>
      </w:r>
      <w:r>
        <w:t>Regulatory</w:t>
      </w:r>
      <w:r>
        <w:rPr>
          <w:spacing w:val="-29"/>
        </w:rPr>
        <w:t xml:space="preserve"> </w:t>
      </w:r>
      <w:r>
        <w:t>Guide</w:t>
      </w:r>
      <w:r>
        <w:rPr>
          <w:spacing w:val="-28"/>
        </w:rPr>
        <w:t xml:space="preserve"> </w:t>
      </w:r>
      <w:r>
        <w:t>231</w:t>
      </w:r>
      <w:r>
        <w:rPr>
          <w:spacing w:val="-28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Infrastructure</w:t>
      </w:r>
      <w:r>
        <w:rPr>
          <w:spacing w:val="-28"/>
        </w:rPr>
        <w:t xml:space="preserve"> </w:t>
      </w:r>
      <w:r>
        <w:t>entities:</w:t>
      </w:r>
      <w:r>
        <w:rPr>
          <w:spacing w:val="-28"/>
        </w:rPr>
        <w:t xml:space="preserve"> </w:t>
      </w:r>
      <w:r>
        <w:t>Improving</w:t>
      </w:r>
      <w:r>
        <w:rPr>
          <w:spacing w:val="-28"/>
        </w:rPr>
        <w:t xml:space="preserve"> </w:t>
      </w:r>
      <w:r>
        <w:t>disclosure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retail</w:t>
      </w:r>
      <w:r>
        <w:rPr>
          <w:spacing w:val="-29"/>
        </w:rPr>
        <w:t xml:space="preserve"> </w:t>
      </w:r>
      <w:r>
        <w:t>investors”</w:t>
      </w:r>
      <w:r>
        <w:rPr>
          <w:spacing w:val="-28"/>
        </w:rPr>
        <w:t xml:space="preserve"> </w:t>
      </w:r>
      <w:r>
        <w:t>has</w:t>
      </w:r>
      <w:r>
        <w:rPr>
          <w:spacing w:val="-28"/>
        </w:rPr>
        <w:t xml:space="preserve"> </w:t>
      </w:r>
      <w:r>
        <w:t>set</w:t>
      </w:r>
      <w:r>
        <w:rPr>
          <w:spacing w:val="-28"/>
        </w:rPr>
        <w:t xml:space="preserve"> </w:t>
      </w:r>
      <w:r>
        <w:t>out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following</w:t>
      </w:r>
      <w:r>
        <w:rPr>
          <w:spacing w:val="-28"/>
        </w:rPr>
        <w:t xml:space="preserve"> </w:t>
      </w:r>
      <w:r>
        <w:t>benchmarks</w:t>
      </w:r>
      <w:r>
        <w:rPr>
          <w:spacing w:val="-27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infrastructure</w:t>
      </w:r>
      <w:r>
        <w:rPr>
          <w:spacing w:val="-28"/>
        </w:rPr>
        <w:t xml:space="preserve"> </w:t>
      </w:r>
      <w:r>
        <w:t>entities.</w:t>
      </w:r>
      <w:r>
        <w:rPr>
          <w:spacing w:val="-28"/>
        </w:rPr>
        <w:t xml:space="preserve"> </w:t>
      </w:r>
      <w:r>
        <w:t>An overview of the benchmarks and the ALX response is set out</w:t>
      </w:r>
      <w:r>
        <w:rPr>
          <w:spacing w:val="-25"/>
        </w:rPr>
        <w:t xml:space="preserve"> </w:t>
      </w:r>
      <w:r>
        <w:t>below.</w:t>
      </w:r>
    </w:p>
    <w:p w14:paraId="697970C7" w14:textId="77777777" w:rsidR="000E51A1" w:rsidRDefault="000E51A1">
      <w:pPr>
        <w:pStyle w:val="BodyText"/>
        <w:spacing w:before="8"/>
        <w:rPr>
          <w:sz w:val="23"/>
        </w:rPr>
      </w:pPr>
    </w:p>
    <w:tbl>
      <w:tblPr>
        <w:tblW w:w="13690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7"/>
        <w:gridCol w:w="28"/>
        <w:gridCol w:w="14"/>
        <w:gridCol w:w="22"/>
        <w:gridCol w:w="7139"/>
      </w:tblGrid>
      <w:tr w:rsidR="000E51A1" w14:paraId="2CD5D73A" w14:textId="77777777" w:rsidTr="00FA7AC7">
        <w:trPr>
          <w:trHeight w:val="314"/>
          <w:tblHeader/>
        </w:trPr>
        <w:tc>
          <w:tcPr>
            <w:tcW w:w="6551" w:type="dxa"/>
            <w:gridSpan w:val="4"/>
            <w:tcBorders>
              <w:bottom w:val="single" w:sz="4" w:space="0" w:color="FFFFFF"/>
            </w:tcBorders>
            <w:shd w:val="clear" w:color="auto" w:fill="7BC143"/>
          </w:tcPr>
          <w:p w14:paraId="72E861E6" w14:textId="77777777" w:rsidR="000E51A1" w:rsidRPr="00A879FA" w:rsidRDefault="009818E2" w:rsidP="00FA7AC7">
            <w:pPr>
              <w:pStyle w:val="TableParagraph"/>
              <w:spacing w:before="120" w:after="120"/>
              <w:ind w:left="108"/>
              <w:rPr>
                <w:sz w:val="20"/>
                <w:szCs w:val="20"/>
              </w:rPr>
            </w:pPr>
            <w:r w:rsidRPr="00A879FA">
              <w:rPr>
                <w:color w:val="FFFFFF"/>
                <w:w w:val="105"/>
                <w:sz w:val="20"/>
                <w:szCs w:val="20"/>
              </w:rPr>
              <w:t>Benchmark Disclosure Requirement</w:t>
            </w:r>
          </w:p>
        </w:tc>
        <w:tc>
          <w:tcPr>
            <w:tcW w:w="7139" w:type="dxa"/>
            <w:tcBorders>
              <w:bottom w:val="single" w:sz="4" w:space="0" w:color="FFFFFF"/>
            </w:tcBorders>
            <w:shd w:val="clear" w:color="auto" w:fill="7BC143"/>
          </w:tcPr>
          <w:p w14:paraId="5800AC10" w14:textId="77777777" w:rsidR="000E51A1" w:rsidRPr="00A879FA" w:rsidRDefault="009818E2" w:rsidP="00FA7AC7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  <w:r w:rsidRPr="00A879FA">
              <w:rPr>
                <w:color w:val="FFFFFF"/>
                <w:w w:val="105"/>
                <w:sz w:val="20"/>
                <w:szCs w:val="20"/>
              </w:rPr>
              <w:t>ALX Statement and Explanation</w:t>
            </w:r>
          </w:p>
        </w:tc>
      </w:tr>
      <w:tr w:rsidR="000E51A1" w14:paraId="6D4CA87A" w14:textId="77777777" w:rsidTr="00FA7AC7">
        <w:tc>
          <w:tcPr>
            <w:tcW w:w="655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EDEDE"/>
          </w:tcPr>
          <w:p w14:paraId="22AE97C0" w14:textId="77777777" w:rsidR="000E51A1" w:rsidRPr="00A879FA" w:rsidRDefault="009818E2" w:rsidP="00FA7AC7">
            <w:pPr>
              <w:pStyle w:val="TableParagraph"/>
              <w:spacing w:before="120" w:after="120"/>
              <w:ind w:left="471" w:hanging="471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 xml:space="preserve">1. </w:t>
            </w:r>
            <w:r w:rsidR="00A879FA">
              <w:rPr>
                <w:sz w:val="20"/>
                <w:szCs w:val="20"/>
              </w:rPr>
              <w:tab/>
            </w:r>
            <w:r w:rsidRPr="00A879FA">
              <w:rPr>
                <w:sz w:val="20"/>
                <w:szCs w:val="20"/>
              </w:rPr>
              <w:t>Corporate structure and management</w:t>
            </w:r>
          </w:p>
        </w:tc>
        <w:tc>
          <w:tcPr>
            <w:tcW w:w="71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DEDE"/>
          </w:tcPr>
          <w:p w14:paraId="1F0065C3" w14:textId="77777777" w:rsidR="000E51A1" w:rsidRPr="00A879FA" w:rsidRDefault="000E51A1" w:rsidP="00FA7AC7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A879FA" w14:paraId="63B018B2" w14:textId="77777777" w:rsidTr="00FA7AC7">
        <w:tc>
          <w:tcPr>
            <w:tcW w:w="6551" w:type="dxa"/>
            <w:gridSpan w:val="4"/>
            <w:tcBorders>
              <w:top w:val="single" w:sz="4" w:space="0" w:color="FFFFFF"/>
              <w:bottom w:val="single" w:sz="4" w:space="0" w:color="auto"/>
            </w:tcBorders>
            <w:shd w:val="clear" w:color="auto" w:fill="DEDEDE"/>
          </w:tcPr>
          <w:p w14:paraId="30E84AD4" w14:textId="77777777" w:rsidR="00A879FA" w:rsidRPr="00A879FA" w:rsidRDefault="00A879FA" w:rsidP="00FA7AC7">
            <w:pPr>
              <w:pStyle w:val="TableParagraph"/>
              <w:spacing w:before="120" w:after="120"/>
              <w:ind w:left="471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Corporate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governance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policies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and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practices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should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conform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with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 principles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and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recommendations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ASX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Listing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Rules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Guidance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Note 9, Disclosure of Corporate Government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Practices.</w:t>
            </w:r>
          </w:p>
        </w:tc>
        <w:tc>
          <w:tcPr>
            <w:tcW w:w="713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DEDEDE"/>
          </w:tcPr>
          <w:p w14:paraId="5A8B8041" w14:textId="77777777" w:rsidR="00A879FA" w:rsidRPr="00A879FA" w:rsidRDefault="00A879FA" w:rsidP="00FA7AC7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The benchmark is met.</w:t>
            </w:r>
          </w:p>
          <w:p w14:paraId="34C42444" w14:textId="77777777" w:rsidR="00A879FA" w:rsidRPr="00A879FA" w:rsidRDefault="00A879FA" w:rsidP="00FA7AC7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ALX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publishes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corporate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governance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statement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on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its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website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which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sets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out detailed disclosures in respect of compliance with the ASX Corporate Governance Principles and</w:t>
            </w:r>
            <w:r w:rsidRPr="00A879FA">
              <w:rPr>
                <w:spacing w:val="-1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Recommendations.</w:t>
            </w:r>
          </w:p>
        </w:tc>
      </w:tr>
      <w:tr w:rsidR="00A879FA" w14:paraId="0FCAFC94" w14:textId="77777777" w:rsidTr="00FA7AC7">
        <w:tc>
          <w:tcPr>
            <w:tcW w:w="6551" w:type="dxa"/>
            <w:gridSpan w:val="4"/>
            <w:tcBorders>
              <w:top w:val="single" w:sz="4" w:space="0" w:color="auto"/>
            </w:tcBorders>
            <w:shd w:val="clear" w:color="auto" w:fill="DEDEDE"/>
          </w:tcPr>
          <w:p w14:paraId="75B05641" w14:textId="77777777" w:rsidR="00A879FA" w:rsidRPr="00A879FA" w:rsidRDefault="00A879FA" w:rsidP="00FA7AC7">
            <w:pPr>
              <w:pStyle w:val="TableParagraph"/>
              <w:spacing w:before="120" w:after="120"/>
              <w:ind w:left="471" w:hanging="471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ab/>
            </w:r>
            <w:r w:rsidRPr="00A879FA">
              <w:rPr>
                <w:sz w:val="20"/>
                <w:szCs w:val="20"/>
              </w:rPr>
              <w:t>Remuneration of management</w:t>
            </w:r>
          </w:p>
        </w:tc>
        <w:tc>
          <w:tcPr>
            <w:tcW w:w="7139" w:type="dxa"/>
            <w:tcBorders>
              <w:top w:val="single" w:sz="4" w:space="0" w:color="auto"/>
            </w:tcBorders>
            <w:shd w:val="clear" w:color="auto" w:fill="DEDEDE"/>
          </w:tcPr>
          <w:p w14:paraId="08E9E38B" w14:textId="77777777" w:rsidR="00A879FA" w:rsidRPr="00A879FA" w:rsidRDefault="00A879FA" w:rsidP="00FA7AC7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</w:p>
        </w:tc>
      </w:tr>
      <w:tr w:rsidR="000E51A1" w14:paraId="31DD02B9" w14:textId="77777777" w:rsidTr="00FA7AC7">
        <w:tc>
          <w:tcPr>
            <w:tcW w:w="6551" w:type="dxa"/>
            <w:gridSpan w:val="4"/>
            <w:tcBorders>
              <w:bottom w:val="single" w:sz="4" w:space="0" w:color="auto"/>
            </w:tcBorders>
            <w:shd w:val="clear" w:color="auto" w:fill="DEDEDE"/>
          </w:tcPr>
          <w:p w14:paraId="79486C44" w14:textId="77777777" w:rsidR="000E51A1" w:rsidRPr="00A879FA" w:rsidRDefault="009818E2" w:rsidP="00FA7AC7">
            <w:pPr>
              <w:pStyle w:val="TableParagraph"/>
              <w:spacing w:before="120" w:after="120"/>
              <w:ind w:left="468" w:right="189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Incentive-based remuneration paid to management for the infrastructure entity is derived from the performance of the infrastructure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entity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and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not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performance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of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other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entities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within its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consolidated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group,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except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where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infrastructure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entity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is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 parent of the consolidated</w:t>
            </w:r>
            <w:r w:rsidRPr="00A879FA">
              <w:rPr>
                <w:spacing w:val="-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group.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DEDEDE"/>
          </w:tcPr>
          <w:p w14:paraId="6A6E56E0" w14:textId="77777777" w:rsidR="00546405" w:rsidRPr="00F22081" w:rsidRDefault="009818E2" w:rsidP="00FA7AC7">
            <w:pPr>
              <w:pStyle w:val="TableParagraph"/>
              <w:spacing w:before="120" w:after="120"/>
              <w:ind w:left="118" w:right="4"/>
              <w:rPr>
                <w:sz w:val="20"/>
                <w:szCs w:val="20"/>
              </w:rPr>
            </w:pPr>
            <w:bookmarkStart w:id="0" w:name="_GoBack"/>
            <w:bookmarkEnd w:id="0"/>
            <w:r w:rsidRPr="00F22081">
              <w:rPr>
                <w:sz w:val="20"/>
                <w:szCs w:val="20"/>
              </w:rPr>
              <w:t>The</w:t>
            </w:r>
            <w:r w:rsidRPr="00F22081">
              <w:rPr>
                <w:spacing w:val="-21"/>
                <w:sz w:val="20"/>
                <w:szCs w:val="20"/>
              </w:rPr>
              <w:t xml:space="preserve"> </w:t>
            </w:r>
            <w:r w:rsidRPr="00F22081">
              <w:rPr>
                <w:sz w:val="20"/>
                <w:szCs w:val="20"/>
              </w:rPr>
              <w:t>benchmark</w:t>
            </w:r>
            <w:r w:rsidRPr="00F22081">
              <w:rPr>
                <w:spacing w:val="-22"/>
                <w:sz w:val="20"/>
                <w:szCs w:val="20"/>
              </w:rPr>
              <w:t xml:space="preserve"> </w:t>
            </w:r>
            <w:r w:rsidRPr="00F22081">
              <w:rPr>
                <w:sz w:val="20"/>
                <w:szCs w:val="20"/>
              </w:rPr>
              <w:t>is</w:t>
            </w:r>
            <w:r w:rsidRPr="00F22081">
              <w:rPr>
                <w:spacing w:val="-21"/>
                <w:sz w:val="20"/>
                <w:szCs w:val="20"/>
              </w:rPr>
              <w:t xml:space="preserve"> </w:t>
            </w:r>
            <w:r w:rsidRPr="00F22081">
              <w:rPr>
                <w:sz w:val="20"/>
                <w:szCs w:val="20"/>
              </w:rPr>
              <w:t>met</w:t>
            </w:r>
            <w:r w:rsidR="004571F7" w:rsidRPr="00F22081">
              <w:rPr>
                <w:sz w:val="20"/>
                <w:szCs w:val="20"/>
              </w:rPr>
              <w:t>.</w:t>
            </w:r>
          </w:p>
          <w:p w14:paraId="2607B80D" w14:textId="32FFA1E7" w:rsidR="00546405" w:rsidRPr="00A879FA" w:rsidRDefault="00546405" w:rsidP="00FA7AC7">
            <w:pPr>
              <w:pStyle w:val="TableParagraph"/>
              <w:spacing w:before="120" w:after="120"/>
              <w:ind w:left="118" w:right="4"/>
              <w:rPr>
                <w:sz w:val="20"/>
                <w:szCs w:val="20"/>
              </w:rPr>
            </w:pPr>
            <w:r w:rsidRPr="00F22081">
              <w:rPr>
                <w:sz w:val="20"/>
                <w:szCs w:val="20"/>
              </w:rPr>
              <w:t xml:space="preserve">ALX publishes a remuneration report in the ALX Annual Report. A copy of the most recent ALX Annual Report can be found </w:t>
            </w:r>
            <w:r w:rsidR="00F22081" w:rsidRPr="00F22081">
              <w:rPr>
                <w:sz w:val="20"/>
                <w:szCs w:val="20"/>
              </w:rPr>
              <w:t>within the Investor Centre at www.atlasarteria.com</w:t>
            </w:r>
          </w:p>
          <w:p w14:paraId="29E189D3" w14:textId="5BC30151" w:rsidR="000E51A1" w:rsidRPr="00A879FA" w:rsidRDefault="000E51A1" w:rsidP="00FA7AC7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</w:p>
          <w:p w14:paraId="55016719" w14:textId="47819E25" w:rsidR="00A879FA" w:rsidRPr="00A879FA" w:rsidRDefault="00A879FA" w:rsidP="00FA7AC7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</w:p>
        </w:tc>
      </w:tr>
      <w:tr w:rsidR="00FA7AC7" w14:paraId="114DABF8" w14:textId="77777777" w:rsidTr="00FA7AC7">
        <w:tc>
          <w:tcPr>
            <w:tcW w:w="6487" w:type="dxa"/>
            <w:tcBorders>
              <w:top w:val="single" w:sz="4" w:space="0" w:color="auto"/>
            </w:tcBorders>
            <w:shd w:val="clear" w:color="auto" w:fill="DEDEDE"/>
          </w:tcPr>
          <w:p w14:paraId="06BE487B" w14:textId="77777777" w:rsidR="00FA7AC7" w:rsidRDefault="00FA7AC7" w:rsidP="00FA7AC7">
            <w:pPr>
              <w:pStyle w:val="TableParagraph"/>
              <w:spacing w:before="120" w:after="120"/>
              <w:ind w:left="471" w:hanging="471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3.</w:t>
            </w:r>
            <w:r w:rsidRPr="00A879FA">
              <w:rPr>
                <w:sz w:val="20"/>
                <w:szCs w:val="20"/>
              </w:rPr>
              <w:tab/>
              <w:t>Classes of units and</w:t>
            </w:r>
            <w:r w:rsidRPr="00A879FA">
              <w:rPr>
                <w:spacing w:val="1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shares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</w:tcBorders>
            <w:shd w:val="clear" w:color="auto" w:fill="DEDEDE"/>
          </w:tcPr>
          <w:p w14:paraId="4CEF3EEB" w14:textId="77777777" w:rsidR="00FA7AC7" w:rsidRPr="00A879FA" w:rsidRDefault="00FA7AC7" w:rsidP="00FA7AC7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</w:p>
        </w:tc>
      </w:tr>
      <w:tr w:rsidR="00A879FA" w14:paraId="05E827FA" w14:textId="77777777" w:rsidTr="00FA7AC7">
        <w:tc>
          <w:tcPr>
            <w:tcW w:w="6487" w:type="dxa"/>
            <w:tcBorders>
              <w:bottom w:val="single" w:sz="4" w:space="0" w:color="auto"/>
            </w:tcBorders>
            <w:shd w:val="clear" w:color="auto" w:fill="DEDEDE"/>
          </w:tcPr>
          <w:p w14:paraId="6BCB0077" w14:textId="77777777" w:rsidR="00A879FA" w:rsidRPr="00A879FA" w:rsidRDefault="00FA7AC7" w:rsidP="00FA7AC7">
            <w:pPr>
              <w:pStyle w:val="TableParagraph"/>
              <w:spacing w:before="120" w:after="120"/>
              <w:ind w:left="471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A879FA">
              <w:rPr>
                <w:sz w:val="20"/>
                <w:szCs w:val="20"/>
              </w:rPr>
              <w:t>All units or shares are fully paid and have the same rights.</w:t>
            </w:r>
          </w:p>
        </w:tc>
        <w:tc>
          <w:tcPr>
            <w:tcW w:w="7203" w:type="dxa"/>
            <w:gridSpan w:val="4"/>
            <w:tcBorders>
              <w:bottom w:val="single" w:sz="4" w:space="0" w:color="auto"/>
            </w:tcBorders>
            <w:shd w:val="clear" w:color="auto" w:fill="DEDEDE"/>
          </w:tcPr>
          <w:p w14:paraId="65DDB7FC" w14:textId="77777777" w:rsidR="00A879FA" w:rsidRPr="00A879FA" w:rsidRDefault="00FA7AC7" w:rsidP="00FA7AC7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The benchmark is met.</w:t>
            </w:r>
          </w:p>
        </w:tc>
      </w:tr>
      <w:tr w:rsidR="00FA7AC7" w14:paraId="325D37B6" w14:textId="77777777" w:rsidTr="00FA7AC7">
        <w:tc>
          <w:tcPr>
            <w:tcW w:w="6487" w:type="dxa"/>
            <w:tcBorders>
              <w:top w:val="single" w:sz="4" w:space="0" w:color="auto"/>
            </w:tcBorders>
            <w:shd w:val="clear" w:color="auto" w:fill="DEDEDE"/>
          </w:tcPr>
          <w:p w14:paraId="365244BD" w14:textId="529CC164" w:rsidR="00FA7AC7" w:rsidRPr="00A879FA" w:rsidRDefault="00FA7AC7" w:rsidP="00FA7AC7">
            <w:pPr>
              <w:pStyle w:val="TableParagraph"/>
              <w:spacing w:before="120" w:after="120"/>
              <w:ind w:left="471" w:hanging="471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ab/>
            </w:r>
            <w:r w:rsidRPr="00A879FA">
              <w:rPr>
                <w:sz w:val="20"/>
                <w:szCs w:val="20"/>
              </w:rPr>
              <w:t>Substantial related party transactions.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</w:tcBorders>
            <w:shd w:val="clear" w:color="auto" w:fill="DEDEDE"/>
          </w:tcPr>
          <w:p w14:paraId="0D23D2DE" w14:textId="77777777" w:rsidR="00FA7AC7" w:rsidRPr="00A879FA" w:rsidRDefault="00FA7AC7" w:rsidP="00FA7AC7">
            <w:pPr>
              <w:pStyle w:val="TableParagraph"/>
              <w:spacing w:before="120" w:after="120"/>
              <w:ind w:left="118" w:right="177"/>
              <w:rPr>
                <w:sz w:val="20"/>
                <w:szCs w:val="20"/>
              </w:rPr>
            </w:pPr>
          </w:p>
        </w:tc>
      </w:tr>
      <w:tr w:rsidR="000E51A1" w14:paraId="7EBD3A87" w14:textId="77777777" w:rsidTr="00FA7AC7">
        <w:tc>
          <w:tcPr>
            <w:tcW w:w="6487" w:type="dxa"/>
            <w:tcBorders>
              <w:bottom w:val="single" w:sz="4" w:space="0" w:color="auto"/>
            </w:tcBorders>
            <w:shd w:val="clear" w:color="auto" w:fill="DEDEDE"/>
          </w:tcPr>
          <w:p w14:paraId="3D2F0946" w14:textId="77777777" w:rsidR="000E51A1" w:rsidRPr="00A879FA" w:rsidRDefault="009818E2" w:rsidP="00FA7AC7">
            <w:pPr>
              <w:pStyle w:val="TableParagraph"/>
              <w:spacing w:before="120" w:after="120"/>
              <w:ind w:left="468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Compliance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with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ASX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Listing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Rule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10.1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for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substantial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related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party transactions.</w:t>
            </w:r>
          </w:p>
        </w:tc>
        <w:tc>
          <w:tcPr>
            <w:tcW w:w="7203" w:type="dxa"/>
            <w:gridSpan w:val="4"/>
            <w:tcBorders>
              <w:bottom w:val="single" w:sz="4" w:space="0" w:color="auto"/>
            </w:tcBorders>
            <w:shd w:val="clear" w:color="auto" w:fill="DEDEDE"/>
          </w:tcPr>
          <w:p w14:paraId="50839932" w14:textId="77777777" w:rsidR="000E51A1" w:rsidRPr="00A879FA" w:rsidRDefault="009818E2" w:rsidP="00FA7AC7">
            <w:pPr>
              <w:pStyle w:val="TableParagraph"/>
              <w:spacing w:before="120" w:after="120"/>
              <w:ind w:left="118" w:right="177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The benchmark is met for substantial related party transactions between ALX and</w:t>
            </w:r>
            <w:r w:rsidRPr="00A879FA">
              <w:rPr>
                <w:spacing w:val="-1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entities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outside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ALX</w:t>
            </w:r>
            <w:r w:rsidRPr="00A879FA">
              <w:rPr>
                <w:spacing w:val="-1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group.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Shareholder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approval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would</w:t>
            </w:r>
            <w:r w:rsidRPr="00A879FA">
              <w:rPr>
                <w:spacing w:val="-1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be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sought</w:t>
            </w:r>
            <w:r w:rsidRPr="00A879FA">
              <w:rPr>
                <w:spacing w:val="-1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as required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under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Listing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Rule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10.1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for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substantial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transactions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with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related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parties.</w:t>
            </w:r>
          </w:p>
          <w:p w14:paraId="6398FA0A" w14:textId="77777777" w:rsidR="000E51A1" w:rsidRPr="00A879FA" w:rsidRDefault="009818E2" w:rsidP="00FA7AC7">
            <w:pPr>
              <w:pStyle w:val="TableParagraph"/>
              <w:spacing w:before="120" w:after="120"/>
              <w:ind w:left="118" w:right="66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benchmark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not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met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for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substantial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related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party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transactions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between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 stapled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entities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which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comprise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ALX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and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their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controlled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entities.</w:t>
            </w:r>
            <w:r w:rsidRPr="00A879FA">
              <w:rPr>
                <w:spacing w:val="1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As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is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usually the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case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with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stapled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entities,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ALX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has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obtained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ASIC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relief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and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ASX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waivers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to permit transactions (without the need to comply with the related party transaction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requirements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of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ASX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listing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rules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or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Corporations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Act)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between the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ALX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stapled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entities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and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their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controlled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entities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given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that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they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are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part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of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 xml:space="preserve">a </w:t>
            </w:r>
            <w:r w:rsidRPr="00A879FA">
              <w:rPr>
                <w:sz w:val="20"/>
                <w:szCs w:val="20"/>
              </w:rPr>
              <w:lastRenderedPageBreak/>
              <w:t>self contained economic group with the same</w:t>
            </w:r>
            <w:r w:rsidRPr="00A879FA">
              <w:rPr>
                <w:spacing w:val="-3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shareholders.</w:t>
            </w:r>
          </w:p>
        </w:tc>
      </w:tr>
      <w:tr w:rsidR="00A879FA" w14:paraId="5B71FE8A" w14:textId="77777777" w:rsidTr="00FA7AC7">
        <w:tc>
          <w:tcPr>
            <w:tcW w:w="6487" w:type="dxa"/>
            <w:tcBorders>
              <w:top w:val="single" w:sz="4" w:space="0" w:color="auto"/>
            </w:tcBorders>
            <w:shd w:val="clear" w:color="auto" w:fill="DEDEDE"/>
          </w:tcPr>
          <w:p w14:paraId="3C7B58A3" w14:textId="77777777" w:rsidR="00A879FA" w:rsidRPr="00A879FA" w:rsidRDefault="00A879FA" w:rsidP="00B32EDF">
            <w:pPr>
              <w:pStyle w:val="TableParagraph"/>
              <w:keepNext/>
              <w:tabs>
                <w:tab w:val="left" w:pos="468"/>
              </w:tabs>
              <w:spacing w:before="120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lastRenderedPageBreak/>
              <w:t>5. Cash flow</w:t>
            </w:r>
            <w:r w:rsidRPr="00A879FA">
              <w:rPr>
                <w:spacing w:val="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forecast</w:t>
            </w:r>
            <w:r w:rsidR="00FA7AC7">
              <w:rPr>
                <w:sz w:val="20"/>
                <w:szCs w:val="20"/>
              </w:rPr>
              <w:t xml:space="preserve">  </w:t>
            </w:r>
          </w:p>
          <w:p w14:paraId="630427F9" w14:textId="77777777" w:rsidR="00A879FA" w:rsidRPr="00A879FA" w:rsidRDefault="001B0B76" w:rsidP="001B0B76">
            <w:pPr>
              <w:pStyle w:val="TableParagraph"/>
              <w:keepNext/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</w:tcBorders>
            <w:shd w:val="clear" w:color="auto" w:fill="DEDEDE"/>
          </w:tcPr>
          <w:p w14:paraId="317E7597" w14:textId="77777777" w:rsidR="00A879FA" w:rsidRPr="00A879FA" w:rsidRDefault="00A879FA" w:rsidP="00FA7AC7">
            <w:pPr>
              <w:pStyle w:val="TableParagraph"/>
              <w:keepNext/>
              <w:spacing w:before="120" w:after="120"/>
              <w:ind w:left="118"/>
              <w:rPr>
                <w:sz w:val="20"/>
                <w:szCs w:val="20"/>
              </w:rPr>
            </w:pPr>
          </w:p>
        </w:tc>
      </w:tr>
      <w:tr w:rsidR="000E51A1" w14:paraId="7B287661" w14:textId="77777777" w:rsidTr="00FA7AC7">
        <w:tc>
          <w:tcPr>
            <w:tcW w:w="6487" w:type="dxa"/>
            <w:shd w:val="clear" w:color="auto" w:fill="DEDEDE"/>
          </w:tcPr>
          <w:p w14:paraId="3F3EE86C" w14:textId="77777777" w:rsidR="00FA7AC7" w:rsidRDefault="009818E2" w:rsidP="00FA7AC7">
            <w:pPr>
              <w:pStyle w:val="TableParagraph"/>
              <w:keepNext/>
              <w:spacing w:after="120"/>
              <w:ind w:left="471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2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infrastructure</w:t>
            </w:r>
            <w:r w:rsidRPr="00A879FA">
              <w:rPr>
                <w:spacing w:val="-2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entity</w:t>
            </w:r>
            <w:r w:rsidRPr="00A879FA">
              <w:rPr>
                <w:spacing w:val="-2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has,</w:t>
            </w:r>
            <w:r w:rsidRPr="00A879FA">
              <w:rPr>
                <w:spacing w:val="-2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for</w:t>
            </w:r>
            <w:r w:rsidRPr="00A879FA">
              <w:rPr>
                <w:spacing w:val="-2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2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current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financial</w:t>
            </w:r>
            <w:r w:rsidRPr="00A879FA">
              <w:rPr>
                <w:spacing w:val="-2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year,</w:t>
            </w:r>
            <w:r w:rsidRPr="00A879FA">
              <w:rPr>
                <w:spacing w:val="-2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prepared and had approved by its</w:t>
            </w:r>
            <w:r w:rsidRPr="00A879FA">
              <w:rPr>
                <w:spacing w:val="-1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directors:</w:t>
            </w:r>
          </w:p>
          <w:p w14:paraId="6B674D79" w14:textId="77777777" w:rsidR="000E51A1" w:rsidRPr="00A879FA" w:rsidRDefault="00FA7AC7" w:rsidP="00FA7AC7">
            <w:pPr>
              <w:pStyle w:val="TableParagraph"/>
              <w:keepNext/>
              <w:spacing w:before="120" w:after="120"/>
              <w:ind w:left="942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 </w:t>
            </w:r>
            <w:r>
              <w:rPr>
                <w:sz w:val="20"/>
                <w:szCs w:val="20"/>
              </w:rPr>
              <w:tab/>
            </w:r>
            <w:r w:rsidR="009818E2" w:rsidRPr="00A879FA">
              <w:rPr>
                <w:sz w:val="20"/>
                <w:szCs w:val="20"/>
              </w:rPr>
              <w:t>a 12-month cash flow forecast for the infrastructure entity and has</w:t>
            </w:r>
            <w:r w:rsidR="009818E2" w:rsidRPr="00A879FA">
              <w:rPr>
                <w:spacing w:val="-24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engaged</w:t>
            </w:r>
            <w:r w:rsidR="009818E2" w:rsidRPr="00A879FA">
              <w:rPr>
                <w:spacing w:val="-23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an</w:t>
            </w:r>
            <w:r w:rsidR="009818E2" w:rsidRPr="00A879FA">
              <w:rPr>
                <w:spacing w:val="-23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independent</w:t>
            </w:r>
            <w:r w:rsidR="009818E2" w:rsidRPr="00A879FA">
              <w:rPr>
                <w:spacing w:val="-23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suitably</w:t>
            </w:r>
            <w:r w:rsidR="009818E2" w:rsidRPr="00A879FA">
              <w:rPr>
                <w:spacing w:val="-24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qualified</w:t>
            </w:r>
            <w:r w:rsidR="009818E2" w:rsidRPr="00A879FA">
              <w:rPr>
                <w:spacing w:val="-23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person</w:t>
            </w:r>
            <w:r w:rsidR="009818E2" w:rsidRPr="00A879FA">
              <w:rPr>
                <w:spacing w:val="-23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or</w:t>
            </w:r>
            <w:r w:rsidR="009818E2" w:rsidRPr="00A879FA">
              <w:rPr>
                <w:spacing w:val="-24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firm</w:t>
            </w:r>
            <w:r w:rsidR="009818E2" w:rsidRPr="00A879FA">
              <w:rPr>
                <w:spacing w:val="-24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to provide, in accordance with the auditing</w:t>
            </w:r>
            <w:r w:rsidR="009818E2" w:rsidRPr="00A879FA">
              <w:rPr>
                <w:spacing w:val="-36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standards:</w:t>
            </w:r>
          </w:p>
          <w:p w14:paraId="75141DC7" w14:textId="77777777" w:rsidR="000E51A1" w:rsidRPr="00A879FA" w:rsidRDefault="00FA7AC7" w:rsidP="00FA7AC7">
            <w:pPr>
              <w:pStyle w:val="TableParagraph"/>
              <w:keepNext/>
              <w:tabs>
                <w:tab w:val="left" w:pos="1188"/>
                <w:tab w:val="left" w:pos="1189"/>
              </w:tabs>
              <w:spacing w:before="120" w:after="120"/>
              <w:ind w:left="1412" w:right="1102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(i)  </w:t>
            </w:r>
            <w:r>
              <w:rPr>
                <w:sz w:val="20"/>
                <w:szCs w:val="20"/>
              </w:rPr>
              <w:tab/>
            </w:r>
            <w:r w:rsidR="009818E2" w:rsidRPr="00A879FA">
              <w:rPr>
                <w:sz w:val="20"/>
                <w:szCs w:val="20"/>
              </w:rPr>
              <w:t>negative</w:t>
            </w:r>
            <w:r w:rsidR="009818E2" w:rsidRPr="00A879FA">
              <w:rPr>
                <w:spacing w:val="-31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assurance</w:t>
            </w:r>
            <w:r w:rsidR="009818E2" w:rsidRPr="00A879FA">
              <w:rPr>
                <w:spacing w:val="-31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on</w:t>
            </w:r>
            <w:r w:rsidR="009818E2" w:rsidRPr="00A879FA">
              <w:rPr>
                <w:spacing w:val="-30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the</w:t>
            </w:r>
            <w:r w:rsidR="009818E2" w:rsidRPr="00A879FA">
              <w:rPr>
                <w:spacing w:val="-31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reasonableness</w:t>
            </w:r>
            <w:r w:rsidR="009818E2" w:rsidRPr="00A879FA">
              <w:rPr>
                <w:spacing w:val="-31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of</w:t>
            </w:r>
            <w:r w:rsidR="009818E2" w:rsidRPr="00A879FA">
              <w:rPr>
                <w:spacing w:val="-31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the assumptions used in the forecast;</w:t>
            </w:r>
            <w:r w:rsidR="009818E2" w:rsidRPr="00A879FA">
              <w:rPr>
                <w:spacing w:val="-28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and</w:t>
            </w:r>
          </w:p>
          <w:p w14:paraId="1FC76131" w14:textId="77777777" w:rsidR="000E51A1" w:rsidRPr="00A879FA" w:rsidRDefault="00FA7AC7" w:rsidP="00FA7AC7">
            <w:pPr>
              <w:pStyle w:val="TableParagraph"/>
              <w:keepNext/>
              <w:tabs>
                <w:tab w:val="left" w:pos="1188"/>
              </w:tabs>
              <w:spacing w:before="120" w:after="120"/>
              <w:ind w:left="1412" w:right="177" w:hanging="4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(ii)  </w:t>
            </w:r>
            <w:r>
              <w:rPr>
                <w:sz w:val="20"/>
                <w:szCs w:val="20"/>
              </w:rPr>
              <w:tab/>
            </w:r>
            <w:r w:rsidR="009818E2" w:rsidRPr="00A879FA">
              <w:rPr>
                <w:sz w:val="20"/>
                <w:szCs w:val="20"/>
              </w:rPr>
              <w:t>positive</w:t>
            </w:r>
            <w:r w:rsidR="009818E2" w:rsidRPr="00A879FA">
              <w:rPr>
                <w:spacing w:val="-22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assurance</w:t>
            </w:r>
            <w:r w:rsidR="009818E2" w:rsidRPr="00A879FA">
              <w:rPr>
                <w:spacing w:val="-22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that</w:t>
            </w:r>
            <w:r w:rsidR="009818E2" w:rsidRPr="00A879FA">
              <w:rPr>
                <w:spacing w:val="-22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the</w:t>
            </w:r>
            <w:r w:rsidR="009818E2" w:rsidRPr="00A879FA">
              <w:rPr>
                <w:spacing w:val="-22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forecast</w:t>
            </w:r>
            <w:r w:rsidR="009818E2" w:rsidRPr="00A879FA">
              <w:rPr>
                <w:spacing w:val="-22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is</w:t>
            </w:r>
            <w:r w:rsidR="009818E2" w:rsidRPr="00A879FA">
              <w:rPr>
                <w:spacing w:val="-22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properly</w:t>
            </w:r>
            <w:r w:rsidR="009818E2" w:rsidRPr="00A879FA">
              <w:rPr>
                <w:spacing w:val="-23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prepared</w:t>
            </w:r>
            <w:r w:rsidR="009818E2" w:rsidRPr="00A879FA">
              <w:rPr>
                <w:spacing w:val="-22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on the</w:t>
            </w:r>
            <w:r w:rsidR="009818E2" w:rsidRPr="00A879FA">
              <w:rPr>
                <w:spacing w:val="-17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basis</w:t>
            </w:r>
            <w:r w:rsidR="009818E2" w:rsidRPr="00A879FA">
              <w:rPr>
                <w:spacing w:val="-17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of</w:t>
            </w:r>
            <w:r w:rsidR="009818E2" w:rsidRPr="00A879FA">
              <w:rPr>
                <w:spacing w:val="-17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the</w:t>
            </w:r>
            <w:r w:rsidR="009818E2" w:rsidRPr="00A879FA">
              <w:rPr>
                <w:spacing w:val="-17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assumptions</w:t>
            </w:r>
            <w:r w:rsidR="009818E2" w:rsidRPr="00A879FA">
              <w:rPr>
                <w:spacing w:val="-17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and</w:t>
            </w:r>
            <w:r w:rsidR="009818E2" w:rsidRPr="00A879FA">
              <w:rPr>
                <w:spacing w:val="-16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on</w:t>
            </w:r>
            <w:r w:rsidR="009818E2" w:rsidRPr="00A879FA">
              <w:rPr>
                <w:spacing w:val="-16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a</w:t>
            </w:r>
            <w:r w:rsidR="009818E2" w:rsidRPr="00A879FA">
              <w:rPr>
                <w:spacing w:val="-17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basis</w:t>
            </w:r>
            <w:r w:rsidR="009818E2" w:rsidRPr="00A879FA">
              <w:rPr>
                <w:spacing w:val="-17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consistent</w:t>
            </w:r>
            <w:r w:rsidR="009818E2" w:rsidRPr="00A879FA">
              <w:rPr>
                <w:spacing w:val="-16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with the</w:t>
            </w:r>
            <w:r w:rsidR="009818E2" w:rsidRPr="00A879FA">
              <w:rPr>
                <w:spacing w:val="-7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accounting</w:t>
            </w:r>
            <w:r w:rsidR="009818E2" w:rsidRPr="00A879FA">
              <w:rPr>
                <w:spacing w:val="-7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policies</w:t>
            </w:r>
            <w:r w:rsidR="009818E2" w:rsidRPr="00A879FA">
              <w:rPr>
                <w:spacing w:val="-7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adopted</w:t>
            </w:r>
            <w:r w:rsidR="009818E2" w:rsidRPr="00A879FA">
              <w:rPr>
                <w:spacing w:val="-6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by</w:t>
            </w:r>
            <w:r w:rsidR="009818E2" w:rsidRPr="00A879FA">
              <w:rPr>
                <w:spacing w:val="-8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the</w:t>
            </w:r>
            <w:r w:rsidR="009818E2" w:rsidRPr="00A879FA">
              <w:rPr>
                <w:spacing w:val="-7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entity;</w:t>
            </w:r>
            <w:r w:rsidR="009818E2" w:rsidRPr="00A879FA">
              <w:rPr>
                <w:spacing w:val="-7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and</w:t>
            </w:r>
          </w:p>
        </w:tc>
        <w:tc>
          <w:tcPr>
            <w:tcW w:w="7203" w:type="dxa"/>
            <w:gridSpan w:val="4"/>
            <w:shd w:val="clear" w:color="auto" w:fill="DEDEDE"/>
          </w:tcPr>
          <w:p w14:paraId="3EE85F0E" w14:textId="77777777" w:rsidR="000E51A1" w:rsidRPr="00A879FA" w:rsidRDefault="009818E2" w:rsidP="00FA7AC7">
            <w:pPr>
              <w:pStyle w:val="TableParagraph"/>
              <w:keepNext/>
              <w:spacing w:after="120"/>
              <w:ind w:left="119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This benchmark is not currently met.</w:t>
            </w:r>
          </w:p>
          <w:p w14:paraId="73937626" w14:textId="77777777" w:rsidR="000E51A1" w:rsidRPr="00A879FA" w:rsidRDefault="009818E2" w:rsidP="00FA7AC7">
            <w:pPr>
              <w:pStyle w:val="TableParagraph"/>
              <w:keepNext/>
              <w:spacing w:before="120" w:after="120"/>
              <w:ind w:left="118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However, ALX produces a 5 year cash flow forecast which is reviewed by the boards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on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regular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basis.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This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forecast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also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reviewed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by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ALX’s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auditors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 process of determining the appropriateness of preparing financial statements under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going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concern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methodology.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directors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regard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this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as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adequate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 the context of routine</w:t>
            </w:r>
            <w:r w:rsidRPr="00A879FA">
              <w:rPr>
                <w:spacing w:val="-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operations.</w:t>
            </w:r>
          </w:p>
        </w:tc>
      </w:tr>
      <w:tr w:rsidR="000E51A1" w14:paraId="3E75C00E" w14:textId="77777777" w:rsidTr="00FA7AC7">
        <w:tc>
          <w:tcPr>
            <w:tcW w:w="6529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DEDEDE"/>
          </w:tcPr>
          <w:p w14:paraId="5A525AB4" w14:textId="77777777" w:rsidR="000E51A1" w:rsidRPr="00A879FA" w:rsidRDefault="009818E2" w:rsidP="00FA7AC7">
            <w:pPr>
              <w:pStyle w:val="TableParagraph"/>
              <w:spacing w:before="120" w:after="120"/>
              <w:ind w:left="942" w:hanging="471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(b)</w:t>
            </w:r>
            <w:r w:rsidRPr="00A879FA">
              <w:rPr>
                <w:spacing w:val="43"/>
                <w:sz w:val="20"/>
                <w:szCs w:val="20"/>
              </w:rPr>
              <w:t xml:space="preserve"> </w:t>
            </w:r>
            <w:r w:rsidR="00FA7AC7">
              <w:rPr>
                <w:spacing w:val="43"/>
                <w:sz w:val="20"/>
                <w:szCs w:val="20"/>
              </w:rPr>
              <w:tab/>
            </w:r>
            <w:r w:rsidRPr="00A879FA">
              <w:rPr>
                <w:sz w:val="20"/>
                <w:szCs w:val="20"/>
              </w:rPr>
              <w:t>an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internal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unaudited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cash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flow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forecast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for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remaining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life,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or the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right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to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operate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(if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less),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for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each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new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significant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infrastructure asset acquired by the infrastructure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entity.</w:t>
            </w:r>
          </w:p>
        </w:tc>
        <w:tc>
          <w:tcPr>
            <w:tcW w:w="7161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DEDEDE"/>
          </w:tcPr>
          <w:p w14:paraId="246E81C9" w14:textId="77777777" w:rsidR="000E51A1" w:rsidRPr="00A879FA" w:rsidRDefault="009818E2" w:rsidP="00FA7AC7">
            <w:pPr>
              <w:pStyle w:val="TableParagraph"/>
              <w:spacing w:before="120" w:after="120"/>
              <w:ind w:left="118" w:right="92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With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regard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to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paragraph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(b),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ALX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maintains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internal</w:t>
            </w:r>
            <w:r w:rsidRPr="00A879FA">
              <w:rPr>
                <w:spacing w:val="-2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unaudited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cash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flow forecasts for each of its toll road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investments.</w:t>
            </w:r>
          </w:p>
        </w:tc>
      </w:tr>
      <w:tr w:rsidR="000E51A1" w14:paraId="483E9AEE" w14:textId="77777777" w:rsidTr="00FA7AC7">
        <w:tc>
          <w:tcPr>
            <w:tcW w:w="6529" w:type="dxa"/>
            <w:gridSpan w:val="3"/>
            <w:tcBorders>
              <w:top w:val="single" w:sz="4" w:space="0" w:color="auto"/>
            </w:tcBorders>
            <w:shd w:val="clear" w:color="auto" w:fill="DEDEDE"/>
          </w:tcPr>
          <w:p w14:paraId="4655B03A" w14:textId="77777777" w:rsidR="000E51A1" w:rsidRPr="00A879FA" w:rsidRDefault="00FD13CF" w:rsidP="00B32EDF">
            <w:pPr>
              <w:pStyle w:val="TableParagraph"/>
              <w:tabs>
                <w:tab w:val="left" w:pos="468"/>
              </w:tabs>
              <w:spacing w:before="120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 xml:space="preserve">6. </w:t>
            </w:r>
            <w:r w:rsidR="009818E2" w:rsidRPr="00A879FA">
              <w:rPr>
                <w:sz w:val="20"/>
                <w:szCs w:val="20"/>
              </w:rPr>
              <w:t>Base-case financial</w:t>
            </w:r>
            <w:r w:rsidR="009818E2" w:rsidRPr="00A879FA">
              <w:rPr>
                <w:spacing w:val="5"/>
                <w:sz w:val="20"/>
                <w:szCs w:val="20"/>
              </w:rPr>
              <w:t xml:space="preserve"> </w:t>
            </w:r>
            <w:r w:rsidR="009818E2" w:rsidRPr="00A879FA">
              <w:rPr>
                <w:sz w:val="20"/>
                <w:szCs w:val="20"/>
              </w:rPr>
              <w:t>model</w:t>
            </w:r>
          </w:p>
          <w:p w14:paraId="6056846C" w14:textId="77777777" w:rsidR="000E51A1" w:rsidRPr="00A879FA" w:rsidRDefault="001B0B76" w:rsidP="001B0B76">
            <w:pPr>
              <w:pStyle w:val="TableParagraph"/>
              <w:tabs>
                <w:tab w:val="left" w:pos="883"/>
                <w:tab w:val="left" w:pos="884"/>
              </w:tabs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</w:tcBorders>
            <w:shd w:val="clear" w:color="auto" w:fill="DEDEDE"/>
          </w:tcPr>
          <w:p w14:paraId="72231DE4" w14:textId="77777777" w:rsidR="000E51A1" w:rsidRPr="00A879FA" w:rsidRDefault="000E51A1" w:rsidP="00FA7AC7">
            <w:pPr>
              <w:pStyle w:val="TableParagraph"/>
              <w:spacing w:before="120" w:after="120"/>
              <w:ind w:right="92"/>
              <w:rPr>
                <w:sz w:val="20"/>
                <w:szCs w:val="20"/>
              </w:rPr>
            </w:pPr>
          </w:p>
        </w:tc>
      </w:tr>
      <w:tr w:rsidR="00FA7AC7" w14:paraId="60E150F1" w14:textId="77777777" w:rsidTr="00FA7AC7">
        <w:tc>
          <w:tcPr>
            <w:tcW w:w="6529" w:type="dxa"/>
            <w:gridSpan w:val="3"/>
            <w:tcBorders>
              <w:bottom w:val="single" w:sz="4" w:space="0" w:color="auto"/>
            </w:tcBorders>
            <w:shd w:val="clear" w:color="auto" w:fill="DEDEDE"/>
          </w:tcPr>
          <w:p w14:paraId="24CA73E7" w14:textId="77777777" w:rsidR="00FA7AC7" w:rsidRPr="00A879FA" w:rsidRDefault="00FA7AC7" w:rsidP="00FA7AC7">
            <w:pPr>
              <w:pStyle w:val="TableParagraph"/>
              <w:spacing w:after="120"/>
              <w:ind w:left="471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Before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any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new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material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transaction,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and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at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least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once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every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three years, an assurance practitioner performs an agreed-upon procedures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check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on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infrastructure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entity’s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base-case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financial model</w:t>
            </w:r>
            <w:r w:rsidRPr="00A879FA">
              <w:rPr>
                <w:spacing w:val="-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that:</w:t>
            </w:r>
          </w:p>
          <w:p w14:paraId="05CD3DC9" w14:textId="77777777" w:rsidR="00FA7AC7" w:rsidRPr="00A879FA" w:rsidRDefault="00FA7AC7" w:rsidP="00FA7AC7">
            <w:pPr>
              <w:pStyle w:val="TableParagraph"/>
              <w:tabs>
                <w:tab w:val="left" w:pos="828"/>
              </w:tabs>
              <w:spacing w:before="120" w:after="120"/>
              <w:ind w:left="942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879FA">
              <w:rPr>
                <w:sz w:val="20"/>
                <w:szCs w:val="20"/>
              </w:rPr>
              <w:t>checks</w:t>
            </w:r>
            <w:r w:rsidRPr="00A879FA">
              <w:rPr>
                <w:spacing w:val="-1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1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mathematical</w:t>
            </w:r>
            <w:r w:rsidRPr="00A879FA">
              <w:rPr>
                <w:spacing w:val="-1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accuracy</w:t>
            </w:r>
            <w:r w:rsidRPr="00A879FA">
              <w:rPr>
                <w:spacing w:val="-1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of</w:t>
            </w:r>
            <w:r w:rsidRPr="00A879FA">
              <w:rPr>
                <w:spacing w:val="-1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1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model,</w:t>
            </w:r>
            <w:r w:rsidRPr="00A879FA">
              <w:rPr>
                <w:spacing w:val="-1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including</w:t>
            </w:r>
            <w:r w:rsidRPr="00A879FA">
              <w:rPr>
                <w:spacing w:val="-1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that:</w:t>
            </w:r>
          </w:p>
          <w:p w14:paraId="2DC80BD5" w14:textId="77777777" w:rsidR="00FA7AC7" w:rsidRPr="00A879FA" w:rsidRDefault="00FA7AC7" w:rsidP="00FA7AC7">
            <w:pPr>
              <w:pStyle w:val="TableParagraph"/>
              <w:tabs>
                <w:tab w:val="left" w:pos="1188"/>
                <w:tab w:val="left" w:pos="1189"/>
              </w:tabs>
              <w:spacing w:before="120" w:after="120"/>
              <w:ind w:left="1412" w:right="203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(i)  </w:t>
            </w:r>
            <w:r>
              <w:rPr>
                <w:sz w:val="20"/>
                <w:szCs w:val="20"/>
              </w:rPr>
              <w:tab/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calculations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and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functions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model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are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all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material respects arithmetically correct;</w:t>
            </w:r>
            <w:r w:rsidRPr="00A879FA">
              <w:rPr>
                <w:spacing w:val="-1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and</w:t>
            </w:r>
          </w:p>
          <w:p w14:paraId="6E7AAC9D" w14:textId="77777777" w:rsidR="00FA7AC7" w:rsidRPr="00A879FA" w:rsidRDefault="00FA7AC7" w:rsidP="00FA7AC7">
            <w:pPr>
              <w:pStyle w:val="TableParagraph"/>
              <w:tabs>
                <w:tab w:val="left" w:pos="1188"/>
              </w:tabs>
              <w:spacing w:before="120" w:after="120"/>
              <w:ind w:left="1412" w:right="588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(ii)  </w:t>
            </w:r>
            <w:r>
              <w:rPr>
                <w:sz w:val="20"/>
                <w:szCs w:val="20"/>
              </w:rPr>
              <w:tab/>
            </w:r>
            <w:r w:rsidRPr="00A879FA">
              <w:rPr>
                <w:sz w:val="20"/>
                <w:szCs w:val="20"/>
              </w:rPr>
              <w:t>the model allows changes in assumptions, for defined sensitivities,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to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correctly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flow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through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to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results;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and</w:t>
            </w:r>
          </w:p>
          <w:p w14:paraId="733CF2C0" w14:textId="77777777" w:rsidR="00FA7AC7" w:rsidRPr="00A879FA" w:rsidRDefault="00FA7AC7" w:rsidP="00FA7AC7">
            <w:pPr>
              <w:pStyle w:val="TableParagraph"/>
              <w:spacing w:before="120" w:after="120"/>
              <w:ind w:left="942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>
              <w:rPr>
                <w:sz w:val="20"/>
                <w:szCs w:val="20"/>
              </w:rPr>
              <w:tab/>
            </w:r>
            <w:r w:rsidRPr="00A879FA">
              <w:rPr>
                <w:sz w:val="20"/>
                <w:szCs w:val="20"/>
              </w:rPr>
              <w:t>includes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no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findings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that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would,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infrastructure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entity’s opinion, be materially relevant to the infrastructure entity’s investment</w:t>
            </w:r>
            <w:r w:rsidRPr="00A879FA">
              <w:rPr>
                <w:spacing w:val="-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decision.</w:t>
            </w:r>
          </w:p>
        </w:tc>
        <w:tc>
          <w:tcPr>
            <w:tcW w:w="7161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0439A95D" w14:textId="77777777" w:rsidR="00FA7AC7" w:rsidRPr="00A879FA" w:rsidRDefault="00FA7AC7" w:rsidP="00FA7AC7">
            <w:pPr>
              <w:pStyle w:val="TableParagraph"/>
              <w:spacing w:after="120"/>
              <w:ind w:left="119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The benchmark is met.</w:t>
            </w:r>
          </w:p>
          <w:p w14:paraId="332300C5" w14:textId="77777777" w:rsidR="00FA7AC7" w:rsidRPr="00A879FA" w:rsidRDefault="00FA7AC7" w:rsidP="00FA7AC7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An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assurance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practitioner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is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engaged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to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perform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model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audit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(which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includes an</w:t>
            </w:r>
            <w:r w:rsidRPr="00A879FA">
              <w:rPr>
                <w:spacing w:val="-25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agreed-upon</w:t>
            </w:r>
            <w:r w:rsidRPr="00A879FA">
              <w:rPr>
                <w:spacing w:val="-25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procedures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check)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on</w:t>
            </w:r>
            <w:r w:rsidRPr="00A879FA">
              <w:rPr>
                <w:spacing w:val="-25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ALX’s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base-case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financial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model</w:t>
            </w:r>
            <w:r w:rsidRPr="00A879FA">
              <w:rPr>
                <w:spacing w:val="-2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at</w:t>
            </w:r>
            <w:r w:rsidRPr="00A879FA">
              <w:rPr>
                <w:spacing w:val="-25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least every 3</w:t>
            </w:r>
            <w:r w:rsidRPr="00A879FA">
              <w:rPr>
                <w:spacing w:val="-5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years.</w:t>
            </w:r>
          </w:p>
        </w:tc>
      </w:tr>
      <w:tr w:rsidR="00A879FA" w14:paraId="534CE17F" w14:textId="77777777" w:rsidTr="00FA7AC7">
        <w:tc>
          <w:tcPr>
            <w:tcW w:w="6529" w:type="dxa"/>
            <w:gridSpan w:val="3"/>
            <w:tcBorders>
              <w:top w:val="single" w:sz="4" w:space="0" w:color="auto"/>
            </w:tcBorders>
            <w:shd w:val="clear" w:color="auto" w:fill="DEDEDE"/>
          </w:tcPr>
          <w:p w14:paraId="3EEB236A" w14:textId="697D15AC" w:rsidR="00A879FA" w:rsidRPr="00A879FA" w:rsidRDefault="00A879FA" w:rsidP="001B0B76">
            <w:pPr>
              <w:pStyle w:val="TableParagraph"/>
              <w:keepNext/>
              <w:spacing w:before="120" w:after="120"/>
              <w:ind w:left="100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lastRenderedPageBreak/>
              <w:t>7. Performance and forecast</w:t>
            </w:r>
            <w:r w:rsidR="00FA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</w:tcBorders>
            <w:shd w:val="clear" w:color="auto" w:fill="DEDEDE"/>
          </w:tcPr>
          <w:p w14:paraId="5DBA68A1" w14:textId="77777777" w:rsidR="00A879FA" w:rsidRPr="00A879FA" w:rsidRDefault="00A879FA" w:rsidP="001B0B76">
            <w:pPr>
              <w:pStyle w:val="TableParagraph"/>
              <w:keepNext/>
              <w:spacing w:before="120" w:after="120"/>
              <w:ind w:left="118"/>
              <w:rPr>
                <w:sz w:val="20"/>
                <w:szCs w:val="20"/>
              </w:rPr>
            </w:pPr>
          </w:p>
        </w:tc>
      </w:tr>
      <w:tr w:rsidR="000E51A1" w14:paraId="65BCFB97" w14:textId="77777777" w:rsidTr="00FA7AC7">
        <w:tc>
          <w:tcPr>
            <w:tcW w:w="6529" w:type="dxa"/>
            <w:gridSpan w:val="3"/>
            <w:shd w:val="clear" w:color="auto" w:fill="DEDEDE"/>
          </w:tcPr>
          <w:p w14:paraId="4773AC63" w14:textId="77777777" w:rsidR="000E51A1" w:rsidRPr="00A879FA" w:rsidRDefault="009818E2" w:rsidP="001B0B76">
            <w:pPr>
              <w:pStyle w:val="TableParagraph"/>
              <w:keepNext/>
              <w:spacing w:before="120" w:after="120"/>
              <w:ind w:left="468" w:right="307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For any operating asset developed by the infrastructure entity, or completed</w:t>
            </w:r>
            <w:r w:rsidRPr="00A879FA">
              <w:rPr>
                <w:spacing w:val="-3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immediately</w:t>
            </w:r>
            <w:r w:rsidRPr="00A879FA">
              <w:rPr>
                <w:spacing w:val="-3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before</w:t>
            </w:r>
            <w:r w:rsidRPr="00A879FA">
              <w:rPr>
                <w:spacing w:val="-3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3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infrastructure</w:t>
            </w:r>
            <w:r w:rsidRPr="00A879FA">
              <w:rPr>
                <w:spacing w:val="-3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entity’s</w:t>
            </w:r>
            <w:r w:rsidRPr="00A879FA">
              <w:rPr>
                <w:spacing w:val="-3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ownership, the actual outcome for the first two years of operation equals or exceeds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any</w:t>
            </w:r>
            <w:r w:rsidRPr="00A879FA">
              <w:rPr>
                <w:spacing w:val="-25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original</w:t>
            </w:r>
            <w:r w:rsidRPr="00A879FA">
              <w:rPr>
                <w:spacing w:val="-25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publicly</w:t>
            </w:r>
            <w:r w:rsidRPr="00A879FA">
              <w:rPr>
                <w:spacing w:val="-25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disclosed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forecasts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used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to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justify</w:t>
            </w:r>
            <w:r w:rsidRPr="00A879FA">
              <w:rPr>
                <w:spacing w:val="-25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 acquisition or development of that</w:t>
            </w:r>
            <w:r w:rsidRPr="00A879FA">
              <w:rPr>
                <w:spacing w:val="-16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asset.</w:t>
            </w:r>
          </w:p>
        </w:tc>
        <w:tc>
          <w:tcPr>
            <w:tcW w:w="7161" w:type="dxa"/>
            <w:gridSpan w:val="2"/>
            <w:shd w:val="clear" w:color="auto" w:fill="DEDEDE"/>
          </w:tcPr>
          <w:p w14:paraId="3BA93758" w14:textId="77777777" w:rsidR="000E51A1" w:rsidRPr="00A879FA" w:rsidRDefault="009818E2" w:rsidP="001B0B76">
            <w:pPr>
              <w:pStyle w:val="TableParagraph"/>
              <w:keepNext/>
              <w:spacing w:before="120" w:after="120"/>
              <w:ind w:left="118" w:right="92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Not applicable to ALX. This is because this benchmark only applies to an infrastructure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entity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which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has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operating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assets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developed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by</w:t>
            </w:r>
            <w:r w:rsidRPr="00A879FA">
              <w:rPr>
                <w:spacing w:val="-2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that</w:t>
            </w:r>
            <w:r w:rsidRPr="00A879FA">
              <w:rPr>
                <w:spacing w:val="-2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infrastructure entity,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or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completed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immediately</w:t>
            </w:r>
            <w:r w:rsidRPr="00A879FA">
              <w:rPr>
                <w:spacing w:val="-25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before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that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infrastructure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entity’s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ownership</w:t>
            </w:r>
            <w:r w:rsidRPr="00A879FA">
              <w:rPr>
                <w:spacing w:val="-2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of the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relevant</w:t>
            </w:r>
            <w:r w:rsidRPr="00A879FA">
              <w:rPr>
                <w:spacing w:val="-1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asset,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and</w:t>
            </w:r>
            <w:r w:rsidRPr="00A879FA">
              <w:rPr>
                <w:spacing w:val="-1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operating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asset</w:t>
            </w:r>
            <w:r w:rsidRPr="00A879FA">
              <w:rPr>
                <w:spacing w:val="-1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is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</w:t>
            </w:r>
            <w:r w:rsidRPr="00A879FA">
              <w:rPr>
                <w:spacing w:val="-1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first</w:t>
            </w:r>
            <w:r w:rsidRPr="00A879FA">
              <w:rPr>
                <w:spacing w:val="-1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two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years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of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operation.</w:t>
            </w:r>
          </w:p>
        </w:tc>
      </w:tr>
      <w:tr w:rsidR="00A879FA" w14:paraId="139282B5" w14:textId="77777777" w:rsidTr="00FA7AC7">
        <w:tc>
          <w:tcPr>
            <w:tcW w:w="6515" w:type="dxa"/>
            <w:gridSpan w:val="2"/>
            <w:tcBorders>
              <w:top w:val="single" w:sz="4" w:space="0" w:color="FFFFFF"/>
            </w:tcBorders>
            <w:shd w:val="clear" w:color="auto" w:fill="DEDEDE"/>
          </w:tcPr>
          <w:p w14:paraId="1E0CBAC8" w14:textId="7EB55E04" w:rsidR="00A879FA" w:rsidRPr="00A879FA" w:rsidRDefault="00A879FA" w:rsidP="00FA7AC7">
            <w:pPr>
              <w:pStyle w:val="TableParagraph"/>
              <w:spacing w:before="120" w:after="120"/>
              <w:ind w:left="105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8. Distributions</w:t>
            </w:r>
            <w:r w:rsidR="00FA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gridSpan w:val="3"/>
            <w:tcBorders>
              <w:top w:val="single" w:sz="4" w:space="0" w:color="FFFFFF"/>
            </w:tcBorders>
            <w:shd w:val="clear" w:color="auto" w:fill="DEDEDE"/>
          </w:tcPr>
          <w:p w14:paraId="696645D9" w14:textId="77777777" w:rsidR="00A879FA" w:rsidRPr="00A879FA" w:rsidRDefault="00A879FA" w:rsidP="00FA7AC7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</w:p>
        </w:tc>
      </w:tr>
      <w:tr w:rsidR="000E51A1" w14:paraId="7FC35D89" w14:textId="77777777" w:rsidTr="00FA7AC7"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76AD0A4E" w14:textId="77777777" w:rsidR="000E51A1" w:rsidRPr="00A879FA" w:rsidRDefault="009818E2" w:rsidP="00FA7AC7">
            <w:pPr>
              <w:pStyle w:val="TableParagraph"/>
              <w:spacing w:before="120" w:after="120"/>
              <w:ind w:left="468" w:right="127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If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infrastructure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entity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is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unit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trust,</w:t>
            </w:r>
            <w:r w:rsidRPr="00A879FA">
              <w:rPr>
                <w:spacing w:val="-19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it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will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not</w:t>
            </w:r>
            <w:r w:rsidRPr="00A879FA">
              <w:rPr>
                <w:spacing w:val="-18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pay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distributions from scheme</w:t>
            </w:r>
            <w:r w:rsidRPr="00A879FA">
              <w:rPr>
                <w:spacing w:val="-4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borrowings.</w:t>
            </w:r>
          </w:p>
        </w:tc>
        <w:tc>
          <w:tcPr>
            <w:tcW w:w="7175" w:type="dxa"/>
            <w:gridSpan w:val="3"/>
            <w:tcBorders>
              <w:bottom w:val="single" w:sz="4" w:space="0" w:color="auto"/>
            </w:tcBorders>
            <w:shd w:val="clear" w:color="auto" w:fill="DEDEDE"/>
          </w:tcPr>
          <w:p w14:paraId="67714726" w14:textId="77777777" w:rsidR="000E51A1" w:rsidRPr="00A879FA" w:rsidRDefault="009818E2" w:rsidP="00FA7AC7">
            <w:pPr>
              <w:pStyle w:val="TableParagraph"/>
              <w:spacing w:before="120" w:after="120"/>
              <w:ind w:left="118" w:right="202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Not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applicable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to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ALX.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This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is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because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this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benchmark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only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applies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to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unit trusts.</w:t>
            </w:r>
          </w:p>
        </w:tc>
      </w:tr>
      <w:tr w:rsidR="00A879FA" w14:paraId="46206738" w14:textId="77777777" w:rsidTr="00FA7AC7">
        <w:tc>
          <w:tcPr>
            <w:tcW w:w="6515" w:type="dxa"/>
            <w:gridSpan w:val="2"/>
            <w:tcBorders>
              <w:top w:val="single" w:sz="4" w:space="0" w:color="auto"/>
            </w:tcBorders>
            <w:shd w:val="clear" w:color="auto" w:fill="DEDEDE"/>
          </w:tcPr>
          <w:p w14:paraId="04E83DB8" w14:textId="0EE4CD4C" w:rsidR="00A879FA" w:rsidRPr="00A879FA" w:rsidRDefault="00A879FA" w:rsidP="00FA7AC7">
            <w:pPr>
              <w:pStyle w:val="TableParagraph"/>
              <w:spacing w:before="120" w:after="120"/>
              <w:ind w:left="105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9. Updating unit prices</w:t>
            </w:r>
            <w:r w:rsidR="00FA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</w:tcBorders>
            <w:shd w:val="clear" w:color="auto" w:fill="DEDEDE"/>
          </w:tcPr>
          <w:p w14:paraId="5C947384" w14:textId="77777777" w:rsidR="00A879FA" w:rsidRPr="00A879FA" w:rsidRDefault="00A879FA" w:rsidP="00FA7AC7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</w:p>
        </w:tc>
      </w:tr>
      <w:tr w:rsidR="000E51A1" w14:paraId="24BC4B4F" w14:textId="77777777" w:rsidTr="00FA7AC7">
        <w:tc>
          <w:tcPr>
            <w:tcW w:w="6515" w:type="dxa"/>
            <w:gridSpan w:val="2"/>
            <w:shd w:val="clear" w:color="auto" w:fill="DEDEDE"/>
          </w:tcPr>
          <w:p w14:paraId="6424A822" w14:textId="77777777" w:rsidR="000E51A1" w:rsidRPr="00A879FA" w:rsidRDefault="009818E2" w:rsidP="00FA7AC7">
            <w:pPr>
              <w:pStyle w:val="TableParagraph"/>
              <w:spacing w:before="120" w:after="120"/>
              <w:ind w:left="468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If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infrastructure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entity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is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unlisted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and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unit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trust,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after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finalising</w:t>
            </w:r>
            <w:r w:rsidRPr="00A879FA">
              <w:rPr>
                <w:spacing w:val="-20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 new valuation for an infrastructure asset, the infrastructure entity reviews,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and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updates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if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appropriate,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the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unit</w:t>
            </w:r>
            <w:r w:rsidRPr="00A879FA">
              <w:rPr>
                <w:spacing w:val="-2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price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before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issuing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new units or redeeming</w:t>
            </w:r>
            <w:r w:rsidRPr="00A879FA">
              <w:rPr>
                <w:spacing w:val="-7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units.</w:t>
            </w:r>
          </w:p>
        </w:tc>
        <w:tc>
          <w:tcPr>
            <w:tcW w:w="7175" w:type="dxa"/>
            <w:gridSpan w:val="3"/>
            <w:shd w:val="clear" w:color="auto" w:fill="DEDEDE"/>
          </w:tcPr>
          <w:p w14:paraId="6D53038E" w14:textId="77777777" w:rsidR="000E51A1" w:rsidRPr="00A879FA" w:rsidRDefault="009818E2" w:rsidP="00FA7AC7">
            <w:pPr>
              <w:pStyle w:val="TableParagraph"/>
              <w:spacing w:before="120" w:after="120"/>
              <w:ind w:left="118" w:right="202"/>
              <w:rPr>
                <w:sz w:val="20"/>
                <w:szCs w:val="20"/>
              </w:rPr>
            </w:pPr>
            <w:r w:rsidRPr="00A879FA">
              <w:rPr>
                <w:sz w:val="20"/>
                <w:szCs w:val="20"/>
              </w:rPr>
              <w:t>Not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applicable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to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ALX.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This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is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because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this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benchmark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only</w:t>
            </w:r>
            <w:r w:rsidRPr="00A879FA">
              <w:rPr>
                <w:spacing w:val="-23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applies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to</w:t>
            </w:r>
            <w:r w:rsidRPr="00A879FA">
              <w:rPr>
                <w:spacing w:val="-22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unlisted unit</w:t>
            </w:r>
            <w:r w:rsidRPr="00A879FA">
              <w:rPr>
                <w:spacing w:val="-1"/>
                <w:sz w:val="20"/>
                <w:szCs w:val="20"/>
              </w:rPr>
              <w:t xml:space="preserve"> </w:t>
            </w:r>
            <w:r w:rsidRPr="00A879FA">
              <w:rPr>
                <w:sz w:val="20"/>
                <w:szCs w:val="20"/>
              </w:rPr>
              <w:t>trusts.</w:t>
            </w:r>
          </w:p>
        </w:tc>
      </w:tr>
    </w:tbl>
    <w:p w14:paraId="66A1DEC1" w14:textId="77777777" w:rsidR="005D141A" w:rsidRDefault="005D141A"/>
    <w:sectPr w:rsidR="005D14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10" w:orient="landscape"/>
      <w:pgMar w:top="1300" w:right="1660" w:bottom="940" w:left="1220" w:header="862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A7B1" w14:textId="77777777" w:rsidR="00653756" w:rsidRDefault="00653756">
      <w:r>
        <w:separator/>
      </w:r>
    </w:p>
  </w:endnote>
  <w:endnote w:type="continuationSeparator" w:id="0">
    <w:p w14:paraId="0CAE3086" w14:textId="77777777" w:rsidR="00653756" w:rsidRDefault="0065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83BA" w14:textId="77777777" w:rsidR="00F34EE8" w:rsidRDefault="00F34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5AA4" w14:textId="77777777" w:rsidR="000E51A1" w:rsidRDefault="00F22081">
    <w:pPr>
      <w:pStyle w:val="BodyText"/>
      <w:spacing w:line="14" w:lineRule="auto"/>
    </w:pPr>
    <w:r>
      <w:pict w14:anchorId="762D889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546.4pt;width:140.6pt;height:21.6pt;z-index:-6760;mso-position-horizontal-relative:page;mso-position-vertical-relative:page" filled="f" stroked="f">
          <v:textbox inset="0,0,0,0">
            <w:txbxContent>
              <w:p w14:paraId="3526C022" w14:textId="77777777" w:rsidR="000E51A1" w:rsidRDefault="009818E2">
                <w:pPr>
                  <w:spacing w:line="198" w:lineRule="exact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Atlas Arteria Limited</w:t>
                </w:r>
              </w:p>
              <w:p w14:paraId="2AA5A8E7" w14:textId="77777777" w:rsidR="000E51A1" w:rsidRDefault="009818E2">
                <w:pPr>
                  <w:spacing w:before="4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Atlas Arteria International Limited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40EE" w14:textId="77777777" w:rsidR="00F34EE8" w:rsidRDefault="00F34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F4221" w14:textId="77777777" w:rsidR="00653756" w:rsidRDefault="00653756">
      <w:r>
        <w:separator/>
      </w:r>
    </w:p>
  </w:footnote>
  <w:footnote w:type="continuationSeparator" w:id="0">
    <w:p w14:paraId="4BB59CC4" w14:textId="77777777" w:rsidR="00653756" w:rsidRDefault="0065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6EA3" w14:textId="77777777" w:rsidR="00F34EE8" w:rsidRDefault="00F34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A3CC" w14:textId="77777777" w:rsidR="000E51A1" w:rsidRDefault="00F22081">
    <w:pPr>
      <w:pStyle w:val="BodyText"/>
      <w:spacing w:line="14" w:lineRule="auto"/>
    </w:pPr>
    <w:r>
      <w:pict w14:anchorId="2AC66241">
        <v:line id="_x0000_s2051" style="position:absolute;z-index:-6808;mso-position-horizontal-relative:page;mso-position-vertical-relative:page" from="70.55pt,43.3pt" to="789.25pt,43.3pt" strokeweight=".48pt">
          <w10:wrap anchorx="page" anchory="page"/>
        </v:line>
      </w:pict>
    </w:r>
    <w:r>
      <w:pict w14:anchorId="17B42C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43.65pt;width:715.3pt;height:23.3pt;z-index:-6784;mso-position-horizontal-relative:page;mso-position-vertical-relative:page" filled="f" stroked="f">
          <v:textbox inset="0,0,0,0">
            <w:txbxContent>
              <w:p w14:paraId="4BDD3383" w14:textId="77777777" w:rsidR="000E51A1" w:rsidRDefault="009818E2">
                <w:pPr>
                  <w:spacing w:before="30"/>
                  <w:ind w:left="20"/>
                  <w:rPr>
                    <w:sz w:val="36"/>
                  </w:rPr>
                </w:pPr>
                <w:r>
                  <w:rPr>
                    <w:color w:val="7BC143"/>
                    <w:sz w:val="36"/>
                  </w:rPr>
                  <w:t>ASIC</w:t>
                </w:r>
                <w:r>
                  <w:rPr>
                    <w:color w:val="7BC143"/>
                    <w:spacing w:val="-59"/>
                    <w:sz w:val="36"/>
                  </w:rPr>
                  <w:t xml:space="preserve"> </w:t>
                </w:r>
                <w:r>
                  <w:rPr>
                    <w:color w:val="7BC143"/>
                    <w:sz w:val="36"/>
                  </w:rPr>
                  <w:t>Regulatory</w:t>
                </w:r>
                <w:r>
                  <w:rPr>
                    <w:color w:val="7BC143"/>
                    <w:spacing w:val="-60"/>
                    <w:sz w:val="36"/>
                  </w:rPr>
                  <w:t xml:space="preserve"> </w:t>
                </w:r>
                <w:r>
                  <w:rPr>
                    <w:color w:val="7BC143"/>
                    <w:sz w:val="36"/>
                  </w:rPr>
                  <w:t>Guide</w:t>
                </w:r>
                <w:r>
                  <w:rPr>
                    <w:color w:val="7BC143"/>
                    <w:spacing w:val="-59"/>
                    <w:sz w:val="36"/>
                  </w:rPr>
                  <w:t xml:space="preserve"> </w:t>
                </w:r>
                <w:r>
                  <w:rPr>
                    <w:color w:val="7BC143"/>
                    <w:sz w:val="36"/>
                  </w:rPr>
                  <w:t>231</w:t>
                </w:r>
                <w:r>
                  <w:rPr>
                    <w:color w:val="7BC143"/>
                    <w:spacing w:val="-60"/>
                    <w:sz w:val="36"/>
                  </w:rPr>
                  <w:t xml:space="preserve"> </w:t>
                </w:r>
                <w:r>
                  <w:rPr>
                    <w:color w:val="7BC143"/>
                    <w:sz w:val="36"/>
                  </w:rPr>
                  <w:t>–</w:t>
                </w:r>
                <w:r>
                  <w:rPr>
                    <w:color w:val="7BC143"/>
                    <w:spacing w:val="-59"/>
                    <w:sz w:val="36"/>
                  </w:rPr>
                  <w:t xml:space="preserve"> </w:t>
                </w:r>
                <w:r>
                  <w:rPr>
                    <w:color w:val="7BC143"/>
                    <w:sz w:val="36"/>
                  </w:rPr>
                  <w:t>Infrastructure</w:t>
                </w:r>
                <w:r>
                  <w:rPr>
                    <w:color w:val="7BC143"/>
                    <w:spacing w:val="-59"/>
                    <w:sz w:val="36"/>
                  </w:rPr>
                  <w:t xml:space="preserve"> </w:t>
                </w:r>
                <w:r>
                  <w:rPr>
                    <w:color w:val="7BC143"/>
                    <w:sz w:val="36"/>
                  </w:rPr>
                  <w:t>Entities:</w:t>
                </w:r>
                <w:r>
                  <w:rPr>
                    <w:color w:val="7BC143"/>
                    <w:spacing w:val="-59"/>
                    <w:sz w:val="36"/>
                  </w:rPr>
                  <w:t xml:space="preserve"> </w:t>
                </w:r>
                <w:r>
                  <w:rPr>
                    <w:color w:val="7BC143"/>
                    <w:sz w:val="36"/>
                  </w:rPr>
                  <w:t>Improving</w:t>
                </w:r>
                <w:r>
                  <w:rPr>
                    <w:color w:val="7BC143"/>
                    <w:spacing w:val="-60"/>
                    <w:sz w:val="36"/>
                  </w:rPr>
                  <w:t xml:space="preserve"> </w:t>
                </w:r>
                <w:r>
                  <w:rPr>
                    <w:color w:val="7BC143"/>
                    <w:sz w:val="36"/>
                  </w:rPr>
                  <w:t>Disclosure</w:t>
                </w:r>
                <w:r>
                  <w:rPr>
                    <w:color w:val="7BC143"/>
                    <w:spacing w:val="-59"/>
                    <w:sz w:val="36"/>
                  </w:rPr>
                  <w:t xml:space="preserve"> </w:t>
                </w:r>
                <w:r>
                  <w:rPr>
                    <w:color w:val="7BC143"/>
                    <w:sz w:val="36"/>
                  </w:rPr>
                  <w:t>for</w:t>
                </w:r>
                <w:r>
                  <w:rPr>
                    <w:color w:val="7BC143"/>
                    <w:spacing w:val="-59"/>
                    <w:sz w:val="36"/>
                  </w:rPr>
                  <w:t xml:space="preserve"> </w:t>
                </w:r>
                <w:r>
                  <w:rPr>
                    <w:color w:val="7BC143"/>
                    <w:sz w:val="36"/>
                  </w:rPr>
                  <w:t>Retail</w:t>
                </w:r>
                <w:r>
                  <w:rPr>
                    <w:color w:val="7BC143"/>
                    <w:spacing w:val="-59"/>
                    <w:sz w:val="36"/>
                  </w:rPr>
                  <w:t xml:space="preserve"> </w:t>
                </w:r>
                <w:r>
                  <w:rPr>
                    <w:color w:val="7BC143"/>
                    <w:sz w:val="36"/>
                  </w:rPr>
                  <w:t>Investors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28FB" w14:textId="77777777" w:rsidR="00F34EE8" w:rsidRDefault="00F34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E94"/>
    <w:multiLevelType w:val="hybridMultilevel"/>
    <w:tmpl w:val="07E2DBCE"/>
    <w:lvl w:ilvl="0" w:tplc="FB64D290">
      <w:start w:val="5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0"/>
        <w:w w:val="99"/>
        <w:sz w:val="20"/>
        <w:szCs w:val="20"/>
        <w:lang w:val="en-AU" w:eastAsia="en-AU" w:bidi="en-AU"/>
      </w:rPr>
    </w:lvl>
    <w:lvl w:ilvl="1" w:tplc="9CB2FADE">
      <w:start w:val="1"/>
      <w:numFmt w:val="lowerLetter"/>
      <w:lvlText w:val="(%2)"/>
      <w:lvlJc w:val="left"/>
      <w:pPr>
        <w:ind w:left="828" w:hanging="360"/>
      </w:pPr>
      <w:rPr>
        <w:rFonts w:ascii="Arial" w:eastAsia="Arial" w:hAnsi="Arial" w:cs="Arial" w:hint="default"/>
        <w:spacing w:val="-1"/>
        <w:w w:val="72"/>
        <w:sz w:val="20"/>
        <w:szCs w:val="20"/>
        <w:lang w:val="en-AU" w:eastAsia="en-AU" w:bidi="en-AU"/>
      </w:rPr>
    </w:lvl>
    <w:lvl w:ilvl="2" w:tplc="B9941AB4">
      <w:start w:val="1"/>
      <w:numFmt w:val="lowerRoman"/>
      <w:lvlText w:val="(%3)"/>
      <w:lvlJc w:val="left"/>
      <w:pPr>
        <w:ind w:left="1188" w:hanging="361"/>
      </w:pPr>
      <w:rPr>
        <w:rFonts w:ascii="Arial" w:eastAsia="Arial" w:hAnsi="Arial" w:cs="Arial" w:hint="default"/>
        <w:spacing w:val="-1"/>
        <w:w w:val="72"/>
        <w:sz w:val="20"/>
        <w:szCs w:val="20"/>
        <w:lang w:val="en-AU" w:eastAsia="en-AU" w:bidi="en-AU"/>
      </w:rPr>
    </w:lvl>
    <w:lvl w:ilvl="3" w:tplc="E0FA8916">
      <w:numFmt w:val="bullet"/>
      <w:lvlText w:val="•"/>
      <w:lvlJc w:val="left"/>
      <w:pPr>
        <w:ind w:left="1848" w:hanging="361"/>
      </w:pPr>
      <w:rPr>
        <w:rFonts w:hint="default"/>
        <w:lang w:val="en-AU" w:eastAsia="en-AU" w:bidi="en-AU"/>
      </w:rPr>
    </w:lvl>
    <w:lvl w:ilvl="4" w:tplc="8126F022">
      <w:numFmt w:val="bullet"/>
      <w:lvlText w:val="•"/>
      <w:lvlJc w:val="left"/>
      <w:pPr>
        <w:ind w:left="2517" w:hanging="361"/>
      </w:pPr>
      <w:rPr>
        <w:rFonts w:hint="default"/>
        <w:lang w:val="en-AU" w:eastAsia="en-AU" w:bidi="en-AU"/>
      </w:rPr>
    </w:lvl>
    <w:lvl w:ilvl="5" w:tplc="062E5C2E">
      <w:numFmt w:val="bullet"/>
      <w:lvlText w:val="•"/>
      <w:lvlJc w:val="left"/>
      <w:pPr>
        <w:ind w:left="3186" w:hanging="361"/>
      </w:pPr>
      <w:rPr>
        <w:rFonts w:hint="default"/>
        <w:lang w:val="en-AU" w:eastAsia="en-AU" w:bidi="en-AU"/>
      </w:rPr>
    </w:lvl>
    <w:lvl w:ilvl="6" w:tplc="E3B2A8DA">
      <w:numFmt w:val="bullet"/>
      <w:lvlText w:val="•"/>
      <w:lvlJc w:val="left"/>
      <w:pPr>
        <w:ind w:left="3855" w:hanging="361"/>
      </w:pPr>
      <w:rPr>
        <w:rFonts w:hint="default"/>
        <w:lang w:val="en-AU" w:eastAsia="en-AU" w:bidi="en-AU"/>
      </w:rPr>
    </w:lvl>
    <w:lvl w:ilvl="7" w:tplc="57CA3D04">
      <w:numFmt w:val="bullet"/>
      <w:lvlText w:val="•"/>
      <w:lvlJc w:val="left"/>
      <w:pPr>
        <w:ind w:left="4523" w:hanging="361"/>
      </w:pPr>
      <w:rPr>
        <w:rFonts w:hint="default"/>
        <w:lang w:val="en-AU" w:eastAsia="en-AU" w:bidi="en-AU"/>
      </w:rPr>
    </w:lvl>
    <w:lvl w:ilvl="8" w:tplc="1E7A7994">
      <w:numFmt w:val="bullet"/>
      <w:lvlText w:val="•"/>
      <w:lvlJc w:val="left"/>
      <w:pPr>
        <w:ind w:left="5192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6259344E"/>
    <w:multiLevelType w:val="hybridMultilevel"/>
    <w:tmpl w:val="8B9AFEEE"/>
    <w:lvl w:ilvl="0" w:tplc="91284D0C">
      <w:start w:val="4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0"/>
        <w:w w:val="99"/>
        <w:sz w:val="20"/>
        <w:szCs w:val="20"/>
        <w:lang w:val="en-AU" w:eastAsia="en-AU" w:bidi="en-AU"/>
      </w:rPr>
    </w:lvl>
    <w:lvl w:ilvl="1" w:tplc="58CCFDDA">
      <w:start w:val="1"/>
      <w:numFmt w:val="lowerLetter"/>
      <w:lvlText w:val="(%2)"/>
      <w:lvlJc w:val="left"/>
      <w:pPr>
        <w:ind w:left="828" w:hanging="360"/>
      </w:pPr>
      <w:rPr>
        <w:rFonts w:ascii="Arial" w:eastAsia="Arial" w:hAnsi="Arial" w:cs="Arial" w:hint="default"/>
        <w:spacing w:val="-1"/>
        <w:w w:val="72"/>
        <w:sz w:val="20"/>
        <w:szCs w:val="20"/>
        <w:lang w:val="en-AU" w:eastAsia="en-AU" w:bidi="en-AU"/>
      </w:rPr>
    </w:lvl>
    <w:lvl w:ilvl="2" w:tplc="348EA462">
      <w:start w:val="1"/>
      <w:numFmt w:val="lowerRoman"/>
      <w:lvlText w:val="(%3)"/>
      <w:lvlJc w:val="left"/>
      <w:pPr>
        <w:ind w:left="1188" w:hanging="361"/>
      </w:pPr>
      <w:rPr>
        <w:rFonts w:ascii="Arial" w:eastAsia="Arial" w:hAnsi="Arial" w:cs="Arial" w:hint="default"/>
        <w:spacing w:val="-1"/>
        <w:w w:val="72"/>
        <w:sz w:val="20"/>
        <w:szCs w:val="20"/>
        <w:lang w:val="en-AU" w:eastAsia="en-AU" w:bidi="en-AU"/>
      </w:rPr>
    </w:lvl>
    <w:lvl w:ilvl="3" w:tplc="D7B00B4C">
      <w:numFmt w:val="bullet"/>
      <w:lvlText w:val="•"/>
      <w:lvlJc w:val="left"/>
      <w:pPr>
        <w:ind w:left="1843" w:hanging="361"/>
      </w:pPr>
      <w:rPr>
        <w:rFonts w:hint="default"/>
        <w:lang w:val="en-AU" w:eastAsia="en-AU" w:bidi="en-AU"/>
      </w:rPr>
    </w:lvl>
    <w:lvl w:ilvl="4" w:tplc="E42C27B2">
      <w:numFmt w:val="bullet"/>
      <w:lvlText w:val="•"/>
      <w:lvlJc w:val="left"/>
      <w:pPr>
        <w:ind w:left="2507" w:hanging="361"/>
      </w:pPr>
      <w:rPr>
        <w:rFonts w:hint="default"/>
        <w:lang w:val="en-AU" w:eastAsia="en-AU" w:bidi="en-AU"/>
      </w:rPr>
    </w:lvl>
    <w:lvl w:ilvl="5" w:tplc="5810AE58">
      <w:numFmt w:val="bullet"/>
      <w:lvlText w:val="•"/>
      <w:lvlJc w:val="left"/>
      <w:pPr>
        <w:ind w:left="3170" w:hanging="361"/>
      </w:pPr>
      <w:rPr>
        <w:rFonts w:hint="default"/>
        <w:lang w:val="en-AU" w:eastAsia="en-AU" w:bidi="en-AU"/>
      </w:rPr>
    </w:lvl>
    <w:lvl w:ilvl="6" w:tplc="0004F1DE">
      <w:numFmt w:val="bullet"/>
      <w:lvlText w:val="•"/>
      <w:lvlJc w:val="left"/>
      <w:pPr>
        <w:ind w:left="3834" w:hanging="361"/>
      </w:pPr>
      <w:rPr>
        <w:rFonts w:hint="default"/>
        <w:lang w:val="en-AU" w:eastAsia="en-AU" w:bidi="en-AU"/>
      </w:rPr>
    </w:lvl>
    <w:lvl w:ilvl="7" w:tplc="75AA9F9E">
      <w:numFmt w:val="bullet"/>
      <w:lvlText w:val="•"/>
      <w:lvlJc w:val="left"/>
      <w:pPr>
        <w:ind w:left="4497" w:hanging="361"/>
      </w:pPr>
      <w:rPr>
        <w:rFonts w:hint="default"/>
        <w:lang w:val="en-AU" w:eastAsia="en-AU" w:bidi="en-AU"/>
      </w:rPr>
    </w:lvl>
    <w:lvl w:ilvl="8" w:tplc="FE82798A">
      <w:numFmt w:val="bullet"/>
      <w:lvlText w:val="•"/>
      <w:lvlJc w:val="left"/>
      <w:pPr>
        <w:ind w:left="5161" w:hanging="361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1A1"/>
    <w:rsid w:val="00056804"/>
    <w:rsid w:val="000979B1"/>
    <w:rsid w:val="000B0B4B"/>
    <w:rsid w:val="000D47C5"/>
    <w:rsid w:val="000E51A1"/>
    <w:rsid w:val="00140E61"/>
    <w:rsid w:val="0014170A"/>
    <w:rsid w:val="001A776B"/>
    <w:rsid w:val="001B0B76"/>
    <w:rsid w:val="001B1B27"/>
    <w:rsid w:val="002D00C7"/>
    <w:rsid w:val="003827AA"/>
    <w:rsid w:val="003E44F1"/>
    <w:rsid w:val="004571F7"/>
    <w:rsid w:val="00546405"/>
    <w:rsid w:val="005A4267"/>
    <w:rsid w:val="005D141A"/>
    <w:rsid w:val="00613070"/>
    <w:rsid w:val="00653756"/>
    <w:rsid w:val="006A642A"/>
    <w:rsid w:val="0075793F"/>
    <w:rsid w:val="007D0C84"/>
    <w:rsid w:val="008E0E6A"/>
    <w:rsid w:val="009367F4"/>
    <w:rsid w:val="009818E2"/>
    <w:rsid w:val="00A879FA"/>
    <w:rsid w:val="00B32EDF"/>
    <w:rsid w:val="00BD23F6"/>
    <w:rsid w:val="00BF69C5"/>
    <w:rsid w:val="00C95E7B"/>
    <w:rsid w:val="00CF3A46"/>
    <w:rsid w:val="00D45BE3"/>
    <w:rsid w:val="00F22081"/>
    <w:rsid w:val="00F34EE8"/>
    <w:rsid w:val="00F43EC2"/>
    <w:rsid w:val="00F569CB"/>
    <w:rsid w:val="00F57F53"/>
    <w:rsid w:val="00F723F4"/>
    <w:rsid w:val="00FA7AC7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54532DA"/>
  <w15:docId w15:val="{45B02250-2F38-4EBF-ABED-FB503316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4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EE8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34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E8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5464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84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3139E8E434448AE255ECE960631AF" ma:contentTypeVersion="9" ma:contentTypeDescription="Create a new document." ma:contentTypeScope="" ma:versionID="9ef920060e1cd62e3c89c70c5263b100">
  <xsd:schema xmlns:xsd="http://www.w3.org/2001/XMLSchema" xmlns:xs="http://www.w3.org/2001/XMLSchema" xmlns:p="http://schemas.microsoft.com/office/2006/metadata/properties" xmlns:ns2="a411e854-3397-4961-bf19-71bf4bd18313" xmlns:ns3="5e5cffee-8715-4b48-8dcf-d0e77e5b64d4" targetNamespace="http://schemas.microsoft.com/office/2006/metadata/properties" ma:root="true" ma:fieldsID="79214d074326902d30b3ed0fda3f6712" ns2:_="" ns3:_="">
    <xsd:import namespace="a411e854-3397-4961-bf19-71bf4bd18313"/>
    <xsd:import namespace="5e5cffee-8715-4b48-8dcf-d0e77e5b6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1e854-3397-4961-bf19-71bf4bd18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cffee-8715-4b48-8dcf-d0e77e5b6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3DC81-BC04-4A82-9E00-505474373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1e854-3397-4961-bf19-71bf4bd18313"/>
    <ds:schemaRef ds:uri="5e5cffee-8715-4b48-8dcf-d0e77e5b6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5068F-24B9-4764-A9B2-F15AEEBAC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D5CE1-2024-46CB-A20C-CC612610C39C}">
  <ds:schemaRefs>
    <ds:schemaRef ds:uri="http://schemas.microsoft.com/office/2006/documentManagement/types"/>
    <ds:schemaRef ds:uri="5e5cffee-8715-4b48-8dcf-d0e77e5b64d4"/>
    <ds:schemaRef ds:uri="http://schemas.microsoft.com/office/2006/metadata/properties"/>
    <ds:schemaRef ds:uri="a411e854-3397-4961-bf19-71bf4bd1831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Regulatory Guide 231 - Benchmark</vt:lpstr>
    </vt:vector>
  </TitlesOfParts>
  <Company>King &amp; Wood Mallesons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Regulatory Guide 231 - Benchmark</dc:title>
  <cp:lastModifiedBy>Kylie Ramsden</cp:lastModifiedBy>
  <cp:revision>2</cp:revision>
  <cp:lastPrinted>2019-03-26T10:14:00Z</cp:lastPrinted>
  <dcterms:created xsi:type="dcterms:W3CDTF">2019-03-29T04:41:00Z</dcterms:created>
  <dcterms:modified xsi:type="dcterms:W3CDTF">2019-03-29T04:41:00Z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2019-03-25T00:00:00Z</vt:filetime>
  </property>
  <property fmtid="{D5CDD505-2E9C-101B-9397-08002B2CF9AE}" pid="5" name="DocID">
    <vt:lpwstr>41349436_3</vt:lpwstr>
  </property>
  <property fmtid="{D5CDD505-2E9C-101B-9397-08002B2CF9AE}" pid="6" name="ContentTypeId">
    <vt:lpwstr>0x0101000C23139E8E434448AE255ECE960631AF</vt:lpwstr>
  </property>
</Properties>
</file>